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证券代码：000966  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证券简称：长源电力     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编号：20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  <w:lang w:eastAsia="zh-CN"/>
        </w:rPr>
        <w:t>国家能源集团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  <w:t>长源电力股份有限公司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2"/>
          <w:szCs w:val="24"/>
        </w:rPr>
        <w:t>投资者关系活动记录表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contextualSpacing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24"/>
          <w:szCs w:val="24"/>
        </w:rPr>
      </w:pPr>
    </w:p>
    <w:tbl>
      <w:tblPr>
        <w:tblStyle w:val="4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7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投资者关系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活动类别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特定对象调研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分析师会议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媒体采访   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1"/>
                <w:lang w:eastAsia="zh-CN"/>
              </w:rPr>
              <w:t>☑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业绩说明会     </w:t>
            </w:r>
          </w:p>
          <w:p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新闻发布会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路演活动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 xml:space="preserve">现场参观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1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活动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参与人员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投资者：通过网络参加的投资者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长源电力：</w:t>
            </w: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郑峰</w:t>
            </w: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、汤湘希、朱虹、胡谦</w:t>
            </w:r>
            <w:r>
              <w:rPr>
                <w:rFonts w:hint="eastAsia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、潘承亮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赵雪松、叶建兵、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刘彬、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韩国燕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盛梦莹</w:t>
            </w: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李鸣</w:t>
            </w: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、屈葳、刘硕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保荐代表人：冯强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2025年5月20日（星期二）15:00~16:00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val="en-US" w:eastAsia="zh-CN"/>
              </w:rPr>
              <w:t>武汉市洪山区徐东大街63号国家能源大厦206会议室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  <w:lang w:eastAsia="zh-CN"/>
              </w:rPr>
              <w:t>网络互动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  <w:t>交流内容及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  <w:t>具体问答记录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问总会计师朱虹：请问公司2024年业绩同比提升的主要原因是什么？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您好！2024年公司实现利润总额95,604.18万元，同比增加44,213.06万元；实现归属母公司的净利润71,522.25万元，同比增加36,616.04万元。公司2024年业绩同比提升的主要原因是发电量同比增加及燃煤价格同比降低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问独立董事汤湘希：为贯彻落实《公司法》，中国证监会下发新的《上市公司章程指引》，取消了监事会和监事，职能由审计委员会承担，同时增加了独立董事章节，进一步强化独立董事的作用。请问作为独立董事，如何更好地履行职责，发挥作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您好！随着中国证监会于2025年3月28日出台新的《上市公司章程指引》，进一步加强了董事会审计委员会的监督职能，对独立董事履职提出了更高的要求。 作为独立董事，应从以下几个方面切实履行职责：一是强化监督职能，严格遵循新的《上市公司章程指引》要求，依托审计委员会全面承接原监事会职责，加强对财务报告、内控及关联交易、募集资金、资产减值等重点领域的监督，确保公司治理合规透明；二是提升专业能力，持续关注监管动态与行业风险，结合公司业务特点深化专业知识储备，在董事会决策中提供客观独立的判断，尤其对重大事项提供专业意见；三是深化中小股东保护，通过投资者沟通渠道（如业绩说明会等）及时回应关切，充分关注有关中小股东权益的事项，必要时提议召开临时股东大会； 四是推动公司治理优化，协助公司董事会修订完善《公司章程》及相关工作制度，推动建立权责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晰的履职保障机制，确保独立意见客观公正。感谢您的关注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问总经理郑峰：公司“十五五”规划制定进展情况如何，未来公司发展的主要方向是什么？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您好！规划进展方面，公司于2024年9月启动“十五五”发展规划编制，12月底已完成规划初稿，2025年将深度对接并主动融入区域及地方发展规划，立足湖北区域及公司实际，进一步优化完善“十五五”规划，年底基本形成规划文本。未来公司发展方向方面，主动融入新型能源体系及新型电力系统构建，发力传统产业转型升级和战新产业规模质量发展，加快推进绿色低碳转型，持续优化资产结构，稳健实施有效投资，合理实施到期煤电机组改造，因地制宜探索优质煤电机组低碳化改造，全面加快风电产业高质量发展，持续优化光伏产业发展，大力拓展综合能源服务，着力培育新质生产力，提升核心竞争力，推动公司健康可持续高质量发展。感谢您的关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问总经理郑峰：新能源装机目标超400万千瓦、清洁能源占比超40%的具体落地计划是什么？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您好！因“十四五期间”国内及湖北省新能源发展较快，国家发改委出台136号文电改新政，新能源全面入市政策推进，新能源发展、经营的政策环境均发生较大变化，推动新能源发展从简单粗放式发展向精细精益、集约化高质量发展转变，受相关政策影响，公司新能源发展从高速度发展阶段向高质量发展阶段、装机规模优先向质量效益优先转变，需进一步优选项目、提升发展质效，实现健康可持续高质量发展，预计公司2025年末新能源装机约270万千瓦；受另新增汉川四期2×100万千瓦扩建项目（支撑性保障性煤电项目）影响，预计公司2025年末清洁能源占比约25%。感谢您的关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问总经理郑峰：煤电与新能源业务如何平衡发展？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您好！公司煤电占比超70%，为公司利润的重要支撑，同时煤电的灵活调节能力也是公司新能源建设指标获取的重要支撑，2021以来公司263万千瓦新能源建设指标全部通过煤电灵活调节能力获取。为改变重碳特征明显的资产结构，公司近年来大力发展新能源，全面推动公司绿色低碳转型发展，公司清洁能源装机占比已从2020年5.64%提高到2025年约25%。“十五五”期间公司仍将高质量发展新能源，推动公司进一步绿色低碳转型，预计“十五五”末清洁能源占比提高至28%。感谢您的关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问总经理郑峰：一季度营收、净利润双降，如何扭转业绩颓势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firstLine="480" w:firstLineChars="200"/>
              <w:contextualSpacing/>
              <w:jc w:val="both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您好！2025年一季度，公司营收、净利润双降，主要原因是售电均价及售电量同比下降，公司积极应对风险挑战，及时制定攻坚行动方案，确定稳存拓增、优化结构、锻造核心竞争力、加强成本管控、强化风险防控、优化激励约束等措施，助力盈利能力逐步恢复。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问总经理郑峰：研发资本化投入预计何时产生收益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答：您好！研发资本化投入产生收益时间与具体项目有关，公司研发投入资本化一般来自于科技项目里的设备费，科技项目围绕解决企业生产经营难点、清洁智能高效发电、供热等开展，待科技项目实际投入运行后，有助于提升公司机组清洁智能高效发电、供热能力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问总经理郑峰：容量电价政策对公司长期竞争有何影响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答：您好！公司燃煤机组占比较高，容量电价政策有助于公司回收固定成本，并获取合理收益维持可持续运营，长期来看有助于提升公司竞争力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问总经理郑峰：长源电力核心竞争优势如何保持并强化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公司将积极落实公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司战略发展规划，进一步强化经营效益管控，借助国家能源集团“煤炭产运需”一体化运营优势，持续提升公司在“电源布局优势、发电机组经济指标优势、新能源资源获取优势、公司治理与人才优势”等方面的核心竞争力，并力争实现核心竞争优势向经营效益优势的转化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问总经理郑峰：新能源项目面临哪些风险，怎样应对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最新发布的关于新能源上网电价市场化改革促进高质量发展的136号文，提出建立新能源可持续发展机制电价，避免过度市场化带来的不确定性，保障新能源企业能够稳定运营。针对可能面临电量电价下降风险，公司将深挖精细化运维潜力，增加设备利用小时数，提高风、光功率预测准确率，减少非必要电量损失。依托专业交易团队的市场研判优势，以更加精准、灵活的方式调整交易策略、优化电价水平，保持公司在激烈市场竞争中的优势地位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问总经理郑峰：华工创投投资风险怎样管控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华工创投定位于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对科技型中早期的优质企业股权进行投资，提供投后赋能与增值服务，帮助被投资企业快速成长，通过被投企业的价值成长获得公司股权价值提升，从而为公司股东与基金出资人创造投资回报。 公司持续强化对参股企业的投资风险管控，依法参与参股企业决策和监督，积极加强参股企业财务管控，及时获取其财务报告，掌握其财务状况及经营成果等信息；同时注重投资回报，根据公司章程等督促参股企业及时分红，维护股东合法权益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感谢您的关注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高管您好，请问贵公司本期财务报告中，盈利表现如何？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2025年一季度，公司利润总额完成-5,179.17万元，同比减少40,801.04万元，归属于母公司所有者的净利润完成-7,356.67万元，同比减少32,375.24万元，主要原因是售电均价及售电量同比下降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。感谢您的关注！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ind w:left="0" w:leftChars="0" w:firstLine="480" w:firstLineChars="200"/>
              <w:contextualSpacing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高管您好，请问贵公司未来盈利增长的主要驱动因素有哪些？</w:t>
            </w:r>
          </w:p>
          <w:p>
            <w:pPr>
              <w:numPr>
                <w:ilvl w:val="-1"/>
                <w:numId w:val="0"/>
              </w:numPr>
              <w:spacing w:after="0" w:line="380" w:lineRule="exact"/>
              <w:ind w:firstLine="480" w:firstLineChars="200"/>
              <w:contextualSpacing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答：您好！公司未来盈利增长的驱动因素主要体现在以下几个方面：</w:t>
            </w:r>
          </w:p>
          <w:p>
            <w:pPr>
              <w:numPr>
                <w:ilvl w:val="-1"/>
                <w:numId w:val="0"/>
              </w:numPr>
              <w:spacing w:after="0" w:line="380" w:lineRule="exact"/>
              <w:ind w:firstLine="480" w:firstLineChars="200"/>
              <w:contextualSpacing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清洁优质煤电。公司煤电机组均为30万千瓦及以上清洁高效机组，特别是汉川四期2×100万千瓦煤电项目于2025年底实现“双投”后，公司煤电竞争优势更加突出。同时，公司大部分机组处于负荷中心并具有长江黄金水道支持，有利于发挥地理优势，提高机组利用小时。公司供热量持续增长，助推公司向综合能源服务商转型。</w:t>
            </w:r>
          </w:p>
          <w:p>
            <w:pPr>
              <w:numPr>
                <w:ilvl w:val="-1"/>
                <w:numId w:val="0"/>
              </w:numPr>
              <w:spacing w:after="0" w:line="380" w:lineRule="exact"/>
              <w:ind w:firstLine="480" w:firstLineChars="200"/>
              <w:contextualSpacing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多元协同互补。公司拥有“风、光、水、火”四大发电类型，随着新能源跨越式增长，电源结构形成多元化组合。各种电源互为补充，更有利于拓宽公司未来发展空间，积极推动多种能源协同互补、综合利用。</w:t>
            </w:r>
          </w:p>
          <w:p>
            <w:pPr>
              <w:numPr>
                <w:ilvl w:val="-1"/>
                <w:numId w:val="0"/>
              </w:numPr>
              <w:spacing w:after="0" w:line="380" w:lineRule="exact"/>
              <w:ind w:firstLine="480" w:firstLineChars="200"/>
              <w:contextualSpacing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高效智慧运营。加快构建“一中心引领，四区域协同”的新能源运维管理模式，全面推进“云上水电”集中管控，不断提升公司生产运营管理和标准水平，强化安全生产管理、设备运行维护、成本费用管控，增强可持续发展能力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。感谢您的关注！</w:t>
            </w:r>
          </w:p>
          <w:p>
            <w:pPr>
              <w:ind w:firstLine="0" w:firstLineChars="0"/>
              <w:rPr>
                <w:rFonts w:hint="eastAsia" w:ascii="Times New Roman" w:hAnsi="Times New Roman" w:cs="Times New Roman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color w:val="000000"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80" w:lineRule="exact"/>
              <w:contextualSpacing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color w:val="auto"/>
                <w:sz w:val="24"/>
                <w:szCs w:val="24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</w:rPr>
              <w:t>活动过程中所使用的演示文稿、提供的文档等附件（如有，可作为附件）</w:t>
            </w:r>
          </w:p>
        </w:tc>
        <w:tc>
          <w:tcPr>
            <w:tcW w:w="7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无</w:t>
            </w:r>
          </w:p>
        </w:tc>
      </w:tr>
    </w:tbl>
    <w:p>
      <w:pPr>
        <w:pStyle w:val="6"/>
        <w:spacing w:after="0" w:line="240" w:lineRule="auto"/>
        <w:ind w:firstLine="0" w:firstLineChars="0"/>
        <w:rPr>
          <w:rFonts w:hint="default" w:ascii="Times New Roman" w:hAnsi="Times New Roman" w:cs="Times New Roman"/>
          <w:sz w:val="21"/>
          <w:szCs w:val="21"/>
        </w:rPr>
      </w:pPr>
    </w:p>
    <w:p/>
    <w:sectPr>
      <w:footerReference r:id="rId5" w:type="default"/>
      <w:pgSz w:w="12240" w:h="15840"/>
      <w:pgMar w:top="1134" w:right="1701" w:bottom="1134" w:left="1701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F982CC"/>
    <w:multiLevelType w:val="singleLevel"/>
    <w:tmpl w:val="A1F982C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812D1"/>
    <w:rsid w:val="02702FA4"/>
    <w:rsid w:val="03EB5645"/>
    <w:rsid w:val="05957C05"/>
    <w:rsid w:val="083812D1"/>
    <w:rsid w:val="0CD16DB4"/>
    <w:rsid w:val="13757ACD"/>
    <w:rsid w:val="159D54DD"/>
    <w:rsid w:val="16806CCF"/>
    <w:rsid w:val="195C7A6F"/>
    <w:rsid w:val="19F530A3"/>
    <w:rsid w:val="1A592637"/>
    <w:rsid w:val="1AA05F1D"/>
    <w:rsid w:val="1B8F1D8F"/>
    <w:rsid w:val="1D7813D1"/>
    <w:rsid w:val="1D8E5120"/>
    <w:rsid w:val="1E982BF1"/>
    <w:rsid w:val="21D10405"/>
    <w:rsid w:val="26756977"/>
    <w:rsid w:val="268F4028"/>
    <w:rsid w:val="29085450"/>
    <w:rsid w:val="2AAC182B"/>
    <w:rsid w:val="2E700DE4"/>
    <w:rsid w:val="2F7420ED"/>
    <w:rsid w:val="30572119"/>
    <w:rsid w:val="31A43150"/>
    <w:rsid w:val="32A52E02"/>
    <w:rsid w:val="34BC7662"/>
    <w:rsid w:val="3549260A"/>
    <w:rsid w:val="36732A0F"/>
    <w:rsid w:val="39CC343D"/>
    <w:rsid w:val="3ACA0417"/>
    <w:rsid w:val="3C792D83"/>
    <w:rsid w:val="3E4601B0"/>
    <w:rsid w:val="3E614983"/>
    <w:rsid w:val="40EF5725"/>
    <w:rsid w:val="41857993"/>
    <w:rsid w:val="436C3967"/>
    <w:rsid w:val="44907CC1"/>
    <w:rsid w:val="475C7D83"/>
    <w:rsid w:val="49345036"/>
    <w:rsid w:val="4B453A41"/>
    <w:rsid w:val="4B5E0443"/>
    <w:rsid w:val="4CDD0076"/>
    <w:rsid w:val="4D5667AB"/>
    <w:rsid w:val="4DDD110E"/>
    <w:rsid w:val="4E1919F8"/>
    <w:rsid w:val="4E676C7D"/>
    <w:rsid w:val="511469B1"/>
    <w:rsid w:val="513335B2"/>
    <w:rsid w:val="514935C9"/>
    <w:rsid w:val="55F76965"/>
    <w:rsid w:val="569B3B0C"/>
    <w:rsid w:val="57545A82"/>
    <w:rsid w:val="5B653234"/>
    <w:rsid w:val="5C0C3353"/>
    <w:rsid w:val="5CF33B90"/>
    <w:rsid w:val="5E9C27B0"/>
    <w:rsid w:val="5EA94AA2"/>
    <w:rsid w:val="5EC50F25"/>
    <w:rsid w:val="5FB61453"/>
    <w:rsid w:val="62FC7E58"/>
    <w:rsid w:val="664F2482"/>
    <w:rsid w:val="6A23791F"/>
    <w:rsid w:val="6AE75B9E"/>
    <w:rsid w:val="6CF61FC1"/>
    <w:rsid w:val="6D1B2A48"/>
    <w:rsid w:val="6D722D12"/>
    <w:rsid w:val="6EC863D7"/>
    <w:rsid w:val="73591031"/>
    <w:rsid w:val="73D80D2C"/>
    <w:rsid w:val="76B34C37"/>
    <w:rsid w:val="77676EE5"/>
    <w:rsid w:val="79663F11"/>
    <w:rsid w:val="7E91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59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cy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2022-03-30T06:53:00Z</dcterms:created>
  <dc:creator>叶建兵</dc:creator>
  <cp:lastModifiedBy>刘硕02</cp:lastModifiedBy>
  <dcterms:modified xsi:type="dcterms:W3CDTF">2025-05-21T09:22:34Z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D673D5FE2CF540EFAED47DA700DEF741</vt:lpwstr>
  </property>
</Properties>
</file>